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SächsJOrgVO (Sachsen) — Urheberrechtsstreitsachen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Urheberrechtsstreitsachen in der sachlichen Zuständigkeit des Amtsgerichts (§ 104 Satz 1, § 105 Absatz 2 des Urheberrechtsgesetzes ) ist für den Bezirk des Oberlandesgerichts Dresden das Amtsgericht Leipzig zuständig.</w:t>
      </w:r>
    </w:p>
    <w:p>
      <w:r>
        <w:t xml:space="preserve">(2) Für Urheberrechtsstreitsachen, die in erster Instanz oder in der Berufungsinstanz zur Zuständigkeit des Landgerichts gehören (§ 104 Satz 1, § 105 Absatz 1 des Urheberrechtsgesetzes ), ist für den Bezirk des Oberlandesgerichts Dresden das Landgericht Leipzig zuständig.</w:t>
      </w:r>
    </w:p>
    <w:p>
      <w:r>
        <w:rPr>
          <w:color w:val="555555"/>
          <w:sz w:val="17"/>
        </w:rPr>
        <w:t xml:space="preserve">Zitiervorschlag: § 15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