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SächsJOrgVO (Sachsen) — Gewerblicher Rechtsschutz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Landgericht Leipzig obliegt für den Bezirk des Oberlandesgerichts Dresden die Entscheidung in</w:t>
      </w:r>
    </w:p>
    <w:p>
      <w:r>
        <w:t xml:space="preserve">1. Patentstreitsachen einschließlich der Streitigkeiten über Arzneimittel-Schutzzertifikate (§ 143 Absatz 2 des Patentgesetzes in der Fassung der Bekanntmachung vom 16. Dezember 1980 (BGBl. 1981 I S. 1), das zuletzt durch Artikel 1 des Gesetzes vom 30. August 2021 (BGBl. I S. 4074) geändert worden ist, in der jeweils geltenden Fassung);</w:t>
      </w:r>
    </w:p>
    <w:p>
      <w:r>
        <w:t xml:space="preserve">2. Gebrauchsmusterstreitsachen (§ 27 Absatz 2 des Gebrauchsmustergesetzes in der Fassung der Bekanntmachung vom 28. August 1986 (BGBl. I S. 1455), das zuletzt durch Artikel 3 des Gesetzes vom 10. August 2021 (BGBl. I S. 3490) geändert worden ist, in der jeweils geltenden Fassung);</w:t>
      </w:r>
    </w:p>
    <w:p>
      <w:r>
        <w:t xml:space="preserve">3. Halbleiterschutzstreitsachen (§ 11 Absatz 2 des Halbleiterschutzgesetzes vom 22. Oktober 1987 (BGBl. I S. 2294), das zuletzt durch Artikel 9 des Gesetzes vom 10. August 2021 (BGBl. I S. 3490) geändert worden ist, in der jeweils geltenden Fassung);</w:t>
      </w:r>
    </w:p>
    <w:p>
      <w:r>
        <w:t xml:space="preserve">4. Geschmacksmusterstreitsachen und Gemeinschaftsgeschmacksmusterstreitverfahren (§ 52 Absatz 2 und § 63 Absatz 2 des Designgesetzes in der Fassung der Bekanntmachung vom 24. Februar 2014 (BGBl. I S. 122), das zuletzt durch Artikel 15 des Gesetzes vom 17. Juli 2017 (BGBl. I S. 2541) geändert worden ist, in der jeweils geltenden Fassung);</w:t>
      </w:r>
    </w:p>
    <w:p>
      <w:r>
        <w:t xml:space="preserve">5. Sortenschutzstreitsachen (§ 38 Absatz 2 des Sortenschutzgesetzes in der Fassung der Bekanntmachung vom 19. Dezember 1997 (BGBl. I S. 3164), das zuletzt durch Artikel 100 des Gesetzes vom 10. August 2021 (BGBl. I S. 3436) geändert worden ist, in der jeweils geltenden Fassung);</w:t>
      </w:r>
    </w:p>
    <w:p>
      <w:r>
        <w:t xml:space="preserve">6. Gemeinschaftsmarkenstreitsachen nach § 122 Absatz 3 Satz 1 des Markengesetzes vom 25. Oktober 1994 (BGBl. I S. 3082; 1995 I S. 156); 1996 I S. 682), das zuletzt durch Artikel 14 des Gesetzes vom 8. Oktober 2023 (BGBl. 2023 I Nr. 272) geändert worden ist, in der jeweils geltenden Fassung, und Kennzeichenstreitsachen nach § 140 Absatz 2 des Markengesetzes sowie</w:t>
      </w:r>
    </w:p>
    <w:p>
      <w:r>
        <w:t xml:space="preserve">7. Rechtsstreitigkeiten nach dem Gesetz zum Schutz des olympischen Emblems und der olympischen Bezeichnungen .</w:t>
      </w:r>
    </w:p>
    <w:p>
      <w:r>
        <w:rPr>
          <w:color w:val="555555"/>
          <w:sz w:val="17"/>
        </w:rPr>
        <w:t xml:space="preserve">Zitiervorschlag: § 14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