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SächsJOrgVO (Sachsen) — Wettbewerbsstreitsachen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Wettbewerbsstreitigkeiten nach § 14 Absatz 1 und 2 des Gesetzes gegen den unlauteren Wettbewerb , soweit nicht gleichzeitig Rechtsstreitigkeiten nach § 12 dieser Verordnung betroffen sind, sind zuständig:</w:t>
      </w:r>
    </w:p>
    <w:p>
      <w:r>
        <w:t xml:space="preserve">1. das Landgericht Leipzig für die Bezirke der Landgerichte Leipzig, Chemnitz und Zwickau;</w:t>
      </w:r>
    </w:p>
    <w:p>
      <w:r>
        <w:t xml:space="preserve">2. das Landgericht Dresden für die Bezirke der Landgerichte Dresden und Görlitz.</w:t>
      </w:r>
    </w:p>
    <w:p>
      <w:r>
        <w:t xml:space="preserve">§ 14 Absatz 4 des Gesetzes gegen den unlauteren Wettbewerb bleibt unberührt.</w:t>
      </w:r>
    </w:p>
    <w:p>
      <w:r>
        <w:rPr>
          <w:color w:val="555555"/>
          <w:sz w:val="17"/>
        </w:rPr>
        <w:t xml:space="preserve">Zitiervorschlag: § 13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