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SächsJOrgVO (Sachsen) — Kartellrecht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Landgericht Leipzig ist für den Bezirk des Oberlandesgerichts Dresden zuständig für die bürgerlichen Rechtsstreitigkeiten, die sich ergeben aus:</w:t>
      </w:r>
    </w:p>
    <w:p>
      <w:r>
        <w:t xml:space="preserve">1. dem Gesetz gegen Wettbewerbsbeschränkungen ;</w:t>
      </w:r>
    </w:p>
    <w:p>
      <w:r>
        <w:t xml:space="preserve">2. Kartellverträgen und Kartellbeschlüssen;</w:t>
      </w:r>
    </w:p>
    <w:p>
      <w:r>
        <w:t xml:space="preserve">3. Artikel 101 und 102 des Vertrags über die Arbeitsweise der Europäischen Union;</w:t>
      </w:r>
    </w:p>
    <w:p>
      <w:r>
        <w:t xml:space="preserve">4. Artikel 53 oder 54 des Abkommens über den Europäischen Wirtschaftsraum.</w:t>
      </w:r>
    </w:p>
    <w:p>
      <w:r>
        <w:rPr>
          <w:color w:val="555555"/>
          <w:sz w:val="17"/>
        </w:rPr>
        <w:t xml:space="preserve">Zitiervorschlag: § 12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