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SächsJOrgVO (Sachsen) — Angelegenheiten nach dem Wertpapiererwerbs- und Übernahmegesetz</w:t>
      </w:r>
    </w:p>
    <w:p>
      <w:r>
        <w:rPr>
          <w:color w:val="555555"/>
          <w:sz w:val="18"/>
        </w:rPr>
        <w:t xml:space="preserve">Sächsische Justizorganisationsverordnung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bürgerliche Rechtsstreitigkeiten, die sich aus dem Wertpapiererwerbs- und Übernahmegesetz ergeben, ist das Landgericht Leipzig für den Bezirk des Oberlandesgerichts Dresden zuständig.</w:t>
      </w:r>
    </w:p>
    <w:p>
      <w:r>
        <w:t xml:space="preserve">(2) Für Klagen aufgrund falscher, irreführender oder unterlassener öffentlicher Kapitalmarktinformation (§ 32b Absatz 1 Nummer 1 und 2 der Zivilprozessordnung ) sind zuständig:</w:t>
      </w:r>
    </w:p>
    <w:p>
      <w:r>
        <w:t xml:space="preserve">1. das Landgericht Dresden für die Bezirke der Landgerichte Dresden und Görlitz;</w:t>
      </w:r>
    </w:p>
    <w:p>
      <w:r>
        <w:t xml:space="preserve">2. das Landgericht Leipzig für die Bezirke der Landgerichte Chemnitz, Leipzig und Zwickau.</w:t>
      </w:r>
    </w:p>
    <w:p>
      <w:r>
        <w:rPr>
          <w:color w:val="555555"/>
          <w:sz w:val="17"/>
        </w:rPr>
        <w:t xml:space="preserve">Zitiervorschlag: § 11 SächsJOrgVO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https://recht.nulegal.eu/gesetze/S%C3%A4chsJOrgVO/11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