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SächsJG (Sachsen)</w:t>
      </w:r>
    </w:p>
    <w:p>
      <w:r>
        <w:rPr>
          <w:color w:val="555555"/>
          <w:sz w:val="18"/>
        </w:rPr>
        <w:t xml:space="preserve">Sächsisches Justizgesetz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[Berichtigt 6. November 2001 (SächsGVBl. S. 704)]</w:t>
      </w:r>
    </w:p>
    <w:p>
      <w:r>
        <w:t xml:space="preserve">Der Sächsische Landtag hat am 16. November 2000 das folgende Gesetz beschlossen:</w:t>
      </w:r>
    </w:p>
    <w:p>
      <w:r>
        <w:rPr>
          <w:color w:val="555555"/>
          <w:sz w:val="17"/>
        </w:rPr>
        <w:t xml:space="preserve">Zitiervorschlag: Eingangsformel SächsJG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