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SächsJG (Sachsen) — Änderung anderer Rechtsvorschriften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§ 122 Abs. 4 der Gemeindeordnung für den Freistaat Sachsen ( SächsGemO ) in der Fassung der Bekanntmachung vom 14. Juni 1999 (SächsGVBl. S. 345) wird aufgehoben.</w:t>
      </w:r>
    </w:p>
    <w:p>
      <w:r>
        <w:t xml:space="preserve">(2) (aufgehoben)</w:t>
      </w:r>
    </w:p>
    <w:p>
      <w:r>
        <w:t xml:space="preserve">(3) § 27 Abs. 2 Satz 2 des Gesetzes über den privaten Rundfunk und neue Medien in Sachsen (Sächsisches Privatrundfunkgesetz – SächsPRG) in der Fassung der Bekanntmachung vom 17. März 1998 (SächsGVBl. S. 111), das zuletzt durch Gesetz vom 17. Mai 1999 (SächsGVBl. S. 246) geändert worden ist, wird gestrichen.</w:t>
      </w:r>
    </w:p>
    <w:p>
      <w:r>
        <w:rPr>
          <w:color w:val="555555"/>
          <w:sz w:val="17"/>
        </w:rPr>
        <w:t xml:space="preserve">Zitiervorschlag: § 73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https://recht.nulegal.eu/gesetze/S%C3%A4chsJG/73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