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SächsJG (Sachsen) — Kosten für Unschädlichkeitszeugnisse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das Verfahren vor dem Amtsgericht zur Erteilung eines Unschädlichkeitszeugnisses nach §§ 46 ff. wird das Doppelte der Gebühr der Tabelle B des § 34 Absatz 2 des Gerichts- und Notarkostengesetzes erhoben, mindestens 120 EUR. Wird der Antrag zurückgenommen, bevor es zu einer Entscheidung gekommen ist, ermäßigt sich die Gebühr auf ein Viertel des Betrages nach Satz 1.</w:t>
      </w:r>
    </w:p>
    <w:p>
      <w:r>
        <w:t xml:space="preserve">(2) Maßgebend ist der Wert der betroffenen Belastungen oder, sofern er geringer ist, der Wert des Trennstücks oder des aufgehobenen Rechts.</w:t>
      </w:r>
    </w:p>
    <w:p>
      <w:r>
        <w:t xml:space="preserve">(3) Für das Beschwerdeverfahren werden die gleichen Gebühren wie im ersten Rechtszug erhoben.</w:t>
      </w:r>
    </w:p>
    <w:p>
      <w:r>
        <w:rPr>
          <w:color w:val="555555"/>
          <w:sz w:val="17"/>
        </w:rPr>
        <w:t xml:space="preserve">Zitiervorschlag: § 67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https://recht.nulegal.eu/gesetze/S%C3%A4chsJG/67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