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65 SächsJG (Sachsen) — Auslagen in Hinterlegungssachen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Hinterlegungssachen werden als Auslagen erhoben:</w:t>
      </w:r>
    </w:p>
    <w:p>
      <w:r>
        <w:t xml:space="preserve">1. die Auslagen nach den Nummern 2000 und 2002 der Anlage des Justizverwaltungskostengesetzes , der Nummer 9020 der Anlage 1 des Gerichtskostengesetzes in der Fassung der Bekanntmachung vom 27. Februar 2014 (BGBl. I S. 154), das zuletzt durch Artikel 16 des Gesetzes vom 25. Juni 2021 (BGBl. I S. 2099) geändert worden ist und den Nummern 31001 bis 31006, 31008 bis 31009 und 31012 bis 31014 der Anlage 1 des Gerichts- und Notarkostengesetzes vom 23. Juli 2013 (BGBl. I S. 2586), das zuletzt durch Artikel 4 Absatz 46 des Gesetzes vom 18. Juli 2016 (BGBl. I S. 1666) geändert worden ist, in der jeweils geltenden Fassung,</w:t>
      </w:r>
    </w:p>
    <w:p>
      <w:r>
        <w:t xml:space="preserve">2. die Beträge, die bei der Umwechslung von Geld nach § 11 Absatz 2 des Sächsischen Hinterlegungsgesetzes vom 11. Juni 2010 (SächsGVBl. S. 154), in der jeweils geltenden Fassung, oder bei der Besorgung von Geschäften nach § 14 des Sächsischen Hinterlegungsgesetzes an Banken oder an andere Stellen zu zahlen sind,</w:t>
      </w:r>
    </w:p>
    <w:p>
      <w:r>
        <w:t xml:space="preserve">3. die Dokumentenpauschale für Kopien und Ausdrucke, die anzufertigen sind, weil ein Antrag auf Annahme nicht in der erforderlichen Zahl von Stücken vorgelegt worden ist,</w:t>
      </w:r>
    </w:p>
    <w:p>
      <w:r>
        <w:t xml:space="preserve">4. die Dokumentenpauschale und Postgebühren für die Anzeige nach § 15 Absatz 1 Satz 2 des Sächsischen Hinterlegungsgesetzes .</w:t>
      </w:r>
    </w:p>
    <w:p>
      <w:r>
        <w:rPr>
          <w:color w:val="555555"/>
          <w:sz w:val="17"/>
        </w:rPr>
        <w:t xml:space="preserve">Zitiervorschlag: § 65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https://recht.nulegal.eu/gesetze/S%C3%A4chsJG/65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65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