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SächsJG (Sachsen) — Rechtsbehelfe</w:t>
      </w:r>
    </w:p>
    <w:p>
      <w:r>
        <w:rPr>
          <w:color w:val="555555"/>
          <w:sz w:val="18"/>
        </w:rPr>
        <w:t xml:space="preserve">Sächsisches Justizgesetz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Gegen die Entscheidung des Amtsgerichts, das die Unschädlichkeit feststellt, findet die Beschwerde statt.</w:t>
      </w:r>
    </w:p>
    <w:p>
      <w:r>
        <w:t xml:space="preserve">(2) Richtet sich die Beschwerde gegen eine die Unschädlichkeit feststellende Entscheidung, sind am Beschwerdeverfahren der Antragsteller, der Eigentümer und die Berechtigten, deren Rechte zu der Beschwerde Anlass gegeben haben, zu beteiligen.</w:t>
      </w:r>
    </w:p>
    <w:p>
      <w:r>
        <w:t xml:space="preserve">(3) Die Entscheidung des Beschwerdegerichts ist unanfechtbar.</w:t>
      </w:r>
    </w:p>
    <w:p>
      <w:r>
        <w:rPr>
          <w:color w:val="555555"/>
          <w:sz w:val="17"/>
        </w:rPr>
        <w:t xml:space="preserve">Zitiervorschlag: § 52 SächsJG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https://recht.nulegal.eu/gesetze/S%C3%A4chsJG/52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