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SächsJG (Sachsen) — Wohnungseigentum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46 Abs. 1 und 4 sowie § 48 Abs. 1 Nr. 1, Abs. 2 und 3 gelten entsprechend, wenn an Räumen eines Gebäudes Wohnungs- oder Teileigentum begründet ist und</w:t>
      </w:r>
    </w:p>
    <w:p>
      <w:r>
        <w:t xml:space="preserve">1. ein Teil des gemeinschaftlichen Eigentums in Sondereigentum oder ein Teil des Sondereigentums in gemeinschaftliches Eigentum überführt wird,</w:t>
      </w:r>
    </w:p>
    <w:p>
      <w:r>
        <w:t xml:space="preserve">2. ein Teil des Sondereigentums an einen anderen Eigentümer veräußert wird oder</w:t>
      </w:r>
    </w:p>
    <w:p>
      <w:r>
        <w:t xml:space="preserve">3. eine im Grundbuch eingetragene Vereinbarung über das Verhältnis der Eigentümer untereinander, durch die einem Eigentümer das Recht zu einer über den Mitgebrauch nach § 13 Absatz 2 des Wohnungseigentumsgesetzes in der im Bundesgesetzblatt Teil III, Gliederungsnummer 403-1, veröffentlichten bereinigten Fassung, das zuletzt durch Artikel 4 des Gesetzes vom 5. Dezember 2014 (BGBl. I S. 1962) geändert worden ist, in der jeweils geltenden Fassung, hinausgehenden Nutzung von Teilen des Gemeinschaftseigentums eingeräumt wird (Sondernutzungsrecht), begründet, geändert oder aufgehoben wird.</w:t>
      </w:r>
    </w:p>
    <w:p>
      <w:r>
        <w:rPr>
          <w:color w:val="555555"/>
          <w:sz w:val="17"/>
        </w:rPr>
        <w:t xml:space="preserve">Zitiervorschlag: § 49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