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SächsJG (Sachsen) — Finanzrechtsweg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Finanzrechtsweg ist auch gegeben für öffentlich-rechtliche Streitigkeiten</w:t>
      </w:r>
    </w:p>
    <w:p>
      <w:r>
        <w:t xml:space="preserve">1. über Abgabenangelegenheiten, soweit diese Abgaben der Gesetzgebung des Bundes nicht unterliegen und durch Landesfinanzbehörden nach den Vorschriften der Abgabenordnung verwaltet werden,</w:t>
      </w:r>
    </w:p>
    <w:p>
      <w:r>
        <w:t xml:space="preserve">2. über landesrechtlich geregelte Kosten (Gebühren und Auslagen), soweit der Finanzrechtsweg für die Hauptsache eröffnet ist und</w:t>
      </w:r>
    </w:p>
    <w:p>
      <w:r>
        <w:t xml:space="preserve">3. über Abgabenangelegenheiten der Kirchen und Religionsgemeinschaften, insbesondere über Kirchensteuern und Kirchgeld.</w:t>
      </w:r>
    </w:p>
    <w:p>
      <w:r>
        <w:rPr>
          <w:color w:val="555555"/>
          <w:sz w:val="17"/>
        </w:rPr>
        <w:t xml:space="preserve">Zitiervorschlag: § 36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