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SächsJG (Sachsen) — Vertrauensleute</w:t>
      </w:r>
    </w:p>
    <w:p>
      <w:r>
        <w:rPr>
          <w:color w:val="555555"/>
          <w:sz w:val="18"/>
        </w:rPr>
        <w:t xml:space="preserve">Sächsisches Justizgesetz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Vertrauensleute im Sinne des § 26 Absatz 2 der Verwaltungsgerichtsordnung und ihre Vertreter werden auf die Dauer von fünf Jahren gewählt. Eine Ersatzwahl gilt nur für den Rest der Wahlperiode der bereits gewählten Vertrauensleute.</w:t>
      </w:r>
    </w:p>
    <w:p>
      <w:r>
        <w:t xml:space="preserve">(2) Für die Entbindung der Vertrauensleute und ihrer Vertreter von ihrem Amt gilt § 24 der Verwaltungsgerichtsordnung entsprechend.</w:t>
      </w:r>
    </w:p>
    <w:p>
      <w:r>
        <w:rPr>
          <w:color w:val="555555"/>
          <w:sz w:val="17"/>
        </w:rPr>
        <w:t xml:space="preserve">Zitiervorschlag: § 22 SächsJG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https://recht.nulegal.eu/gesetze/S%C3%A4chsJG/22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