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SächsJG (Sachsen) — Urkundsbeamte der Geschäftsstelle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Durch die Präsidenten und Direktoren der Gerichte und die Leiter der Staatsanwaltschaften kann mit den Aufgaben eines Urkundsbeamten der Geschäftsstelle neben den in § 153 Absatz 2 und 3 des Gerichtsverfassungsgesetzes Genannten auch betraut werden, wer auf dem Sachgebiet, das ihm übertragen werden soll, einen Wissens- und Leistungsstand aufweist, der dem durch die Ausbildung nach § 153 Absatz 2 des Gerichtsverfassungsgesetzes vermittelten Stand mindestens gleichwertig ist.</w:t>
      </w:r>
    </w:p>
    <w:p>
      <w:r>
        <w:t xml:space="preserve">(2) Die Betrauung nach Absatz 1 sowie deren Änderung oder Aufhebung sollen schriftlich erfolgen.</w:t>
      </w:r>
    </w:p>
    <w:p>
      <w:r>
        <w:rPr>
          <w:color w:val="555555"/>
          <w:sz w:val="17"/>
        </w:rPr>
        <w:t xml:space="preserve">Zitiervorschlag: § 11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