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SächsJAPO (Sachsen) — Ranggleichheit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Haben Bewerberinnen oder Bewerber denselben Rang, entscheidet für die Auswahl die Gesamtpunktzahl in der Ersten Juristischen Prüfung nach § 2 Absatz 1 der Verordnung über eine Noten- und Punkteskala für die erste und zweite juristische Prüfung .</w:t>
      </w:r>
    </w:p>
    <w:p>
      <w:r>
        <w:t xml:space="preserve">(2) Verbleiben hiernach gleichstehende Bewerberinnen oder Bewerber, so entscheidet unter ihnen das frühere Geburtsdatum. Sind sie gleich alt, entscheidet das Los.</w:t>
      </w:r>
    </w:p>
    <w:p>
      <w:r>
        <w:rPr>
          <w:color w:val="555555"/>
          <w:sz w:val="17"/>
        </w:rPr>
        <w:t xml:space="preserve">Zitiervorschlag: § 63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