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SächsJAPO (Sachsen) — Form der Prüfung</w:t>
      </w:r>
    </w:p>
    <w:p>
      <w:r>
        <w:rPr>
          <w:color w:val="555555"/>
          <w:sz w:val="18"/>
        </w:rPr>
        <w:t xml:space="preserve">Sächsische Juristenausbildungs- und -prüfungsordnung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Zweite Juristische Staatsprüfung besteht aus einer schriftlichen und einer mündlichen Prüfung. § 22 Satz 2 bis 5 gilt entsprechend.</w:t>
      </w:r>
    </w:p>
    <w:p>
      <w:r>
        <w:rPr>
          <w:color w:val="555555"/>
          <w:sz w:val="17"/>
        </w:rPr>
        <w:t xml:space="preserve">Zitiervorschlag: § 47 SächsJAPO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https://recht.nulegal.eu/gesetze/S%C3%A4chsJAPO/47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