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SächsIntVerstVO (Sachsen) — Zeitpunkt</w:t>
      </w:r>
    </w:p>
    <w:p>
      <w:r>
        <w:rPr>
          <w:color w:val="555555"/>
          <w:sz w:val="18"/>
        </w:rPr>
        <w:t xml:space="preserve">Sächsische Internetversteigerungsverordnung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Gerichtsvollzieher des Freistaates Sachsen können ab dem 1. April 2010 die in § 2 genannte Versteigerungsplattform als Anbieter im Rahmen einer Versteigerung gemäß § 814 Abs. 2 Nr. 2 der Zivilprozessordnung ( ZPO ) in der Fassung der Bekanntmachung vom 5. Dezember 2005 (BGBl. I S. 3202, 2006 I S. 431, 2007 I S. 1781), die zuletzt durch Artikel 3 des Gesetzes vom 24. September 2009 (BGBl. I S. 3145) geändert worden ist, in der jeweils geltenden Fassung, nutzen.</w:t>
      </w:r>
    </w:p>
    <w:p>
      <w:r>
        <w:rPr>
          <w:color w:val="555555"/>
          <w:sz w:val="17"/>
        </w:rPr>
        <w:t xml:space="preserve">Zitiervorschlag: § 1 SächsIntVerstVO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https://recht.nulegal.eu/gesetze/S%C3%A4chsIntVerstVO/1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