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SächsInklusG (Sachsen) — Gebärdensprache und andere Kommunikationshilfen</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Deutsche Gebärdensprache ist als eigenständige Sprache anerkannt.</w:t>
      </w:r>
    </w:p>
    <w:p>
      <w:r>
        <w:t xml:space="preserve">(2) Lautsprachbegleitende Gebärden sind als Kommunikationsform der deutschen Sprache anerkannt.</w:t>
      </w:r>
    </w:p>
    <w:p>
      <w:r>
        <w:t xml:space="preserve">(3) Menschen mit einer Hörbehinderung (gehörlose, ertaubte und schwerhörige Menschen) und Menschen mit einer Sprachbehinderung haben nach Maßgabe der einschlägigen Rechtsvorschriften das Recht, die Deutsche Gebärdensprache oder lautsprachbegleitende Gebärden zu verwenden. Soweit sie sich nicht in Deutscher Gebärdensprache oder mit lautsprachbegleitenden Gebärden verständigen, haben sie nach Maßgabe der einschlägigen Rechtsvorschriften das Recht, andere geeignete Kommunikationshilfen zu verwenden.</w:t>
      </w:r>
    </w:p>
    <w:p>
      <w:r>
        <w:rPr>
          <w:color w:val="555555"/>
          <w:sz w:val="17"/>
        </w:rPr>
        <w:t xml:space="preserve">Zitiervorschlag: § 5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