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SächsInklusG (Sachsen) — Behinderung</w:t>
      </w:r>
    </w:p>
    <w:p>
      <w:r>
        <w:rPr>
          <w:color w:val="555555"/>
          <w:sz w:val="18"/>
        </w:rPr>
        <w:t xml:space="preserve">Sächsisches Inklusionsgesetz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Menschen mit Behinderungen im Sinne dieses Gesetzes sind Menschen, die langfristige körperliche, seelische, geistige oder Sinnesbeeinträchtigungen haben, welche sie in Wechselwirkung mit einstellungs- und umweltbedingten Barrieren an der gleichberechtigten Teilhabe am Leben in der Gesellschaft hindern können. Als langfristig gilt ein Zeitraum, der mit hoher Wahrscheinlichkeit länger als sechs Monate andauert. Menschen sind von Behinderung bedroht, wenn eine Beeinträchtigung nach Satz 1 zu erwarten ist.</w:t>
      </w:r>
    </w:p>
    <w:p>
      <w:r>
        <w:rPr>
          <w:color w:val="555555"/>
          <w:sz w:val="17"/>
        </w:rPr>
        <w:t xml:space="preserve">Zitiervorschlag: § 2 SächsInklusG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https://recht.nulegal.eu/gesetze/S%C3%A4chsInklusG/2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