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SächsIngG (Sachsen)</w:t>
      </w:r>
    </w:p>
    <w:p>
      <w:r>
        <w:rPr>
          <w:color w:val="555555"/>
          <w:sz w:val="18"/>
        </w:rPr>
        <w:t xml:space="preserve">Sächsisches Ingenieurgesetz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erlassen als Artikel 1 des Gesetzes zur Neuregelung des Sächsischen Ingenieur- und Architektenrechts und zur Anpassung an die Richtlinie 2005/36/EG</w:t>
      </w:r>
    </w:p>
    <w:p>
      <w:r>
        <w:t xml:space="preserve">sowie zur Änderung des Gesetzes über Zuständigkeiten auf dem Gebiet der Energieeinsparung</w:t>
      </w:r>
    </w:p>
    <w:p>
      <w:r>
        <w:t xml:space="preserve">Vom 10. Februar 2017</w:t>
      </w:r>
    </w:p>
    <w:p>
      <w:r>
        <w:rPr>
          <w:color w:val="555555"/>
          <w:sz w:val="17"/>
        </w:rPr>
        <w:t xml:space="preserve">Zitiervorschlag: Eingangsformel SächsIngG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https://recht.nulegal.eu/gesetze/S%C3%A4chsIngG/eingangsformel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