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SächsIngG (Sachsen) — Ordnungswidrigkeiten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fahrlässig,</w:t>
      </w:r>
    </w:p>
    <w:p>
      <w:r>
        <w:t xml:space="preserve">1. entgegen § 1 Absatz 1, 2 oder Absatz 5 Berufsbezeichnungen, Wortverbindungen oder ähnliche Bezeichnungen führt,</w:t>
      </w:r>
    </w:p>
    <w:p>
      <w:r>
        <w:t xml:space="preserve">2. als Gesellschafter oder Geschäftsführer einer Gesellschaft das unbefugte Führen einer Berufsbezeichnung, einer Wortverbindung oder einer ähnlichen Bezeichnung nach § 1 Absatz 2 oder Absatz 5 im Namen oder in der Firma der Gesellschaft zulässt,</w:t>
      </w:r>
    </w:p>
    <w:p>
      <w:r>
        <w:t xml:space="preserve">3. bestehenden Anzeigeverpflichtungen nach § 11 Absatz 4 Satz 1 oder § 41 Absatz 1 Satz 1 nicht nachkommt,</w:t>
      </w:r>
    </w:p>
    <w:p>
      <w:r>
        <w:t xml:space="preserve">4. ihm obliegenden Mitteilungspflichten nach § 6 Absatz 1 Satz 3, § 9 Absatz 6 Satz 4, § 11 Absatz 6 Satz 1, § 35 Absatz 3 Satz 3 und § 41 Absatz 2 Satz 6 nicht nachkommt oder</w:t>
      </w:r>
    </w:p>
    <w:p>
      <w:r>
        <w:t xml:space="preserve">5. Bauvorlagen einreicht oder Standsicherheitsnachweise und Brandschutznachweise für Bauvorhaben unterzeichnet, ohne in die entsprechende Liste der Ingenieurkammer Sachsen nach § 65 Absatz 2 Nummer 2 oder § 66 Absatz 2 Satz 1 oder Satz 4 der Sächsischen Bauordnung oder das entsprechende Verzeichnis der Ingenieurkammer Sachsen nach § 65 Absatz 4 und 5 oder § 66 Absatz 2 Satz 8 und 9 der Sächsischen Bauordnung eingetragen zu sein.</w:t>
      </w:r>
    </w:p>
    <w:p>
      <w:r>
        <w:t xml:space="preserve">(2) Die Ordnungswidrigkeit kann mit einer Geldbuße bis zu 25 000 Euro geahndet werden.</w:t>
      </w:r>
    </w:p>
    <w:p>
      <w:r>
        <w:t xml:space="preserve">(3) Die Ingenieurkammer Sachsen ist zuständige Verwaltungsbehörde zur Verfolgung und Ahndung von Ordnungswidrigkeiten.</w:t>
      </w:r>
    </w:p>
    <w:p>
      <w:r>
        <w:rPr>
          <w:color w:val="555555"/>
          <w:sz w:val="17"/>
        </w:rPr>
        <w:t xml:space="preserve">Zitiervorschlag: § 45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https://recht.nulegal.eu/gesetze/S%C3%A4chsIngG/45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