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41e SächsIngG (Sachsen) — Ausgleichsmaßnahmen</w:t>
      </w:r>
    </w:p>
    <w:p>
      <w:r>
        <w:rPr>
          <w:color w:val="555555"/>
          <w:sz w:val="18"/>
        </w:rPr>
        <w:t xml:space="preserve">Sächsisches Ingenieurgesetz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Als Ausgleichmaßnahmen kommen ein höchstens dreijähriger Anpassungslehrgang und die Ablegung einer Eignungsprüfung in Betracht. Welche Ausgleichsmaßnahme geeignet ist, richtet sich nach der Niveaustufe des jeweils vorgelegten Ausbildungsnachweises:</w:t>
      </w:r>
    </w:p>
    <w:p>
      <w:r>
        <w:t xml:space="preserve">1. Entspricht der Ausbildungsnachweis dem Berufsqualifikationsniveau nach Artikel 11 Buchstabe b, c, d oder e der Richtlinie 2005/36/EG, ist der Antragstellerin oder dem Antragsteller die Wahlmöglichkeit einzuräumen, entweder einen Anpassungslehrgang zu absolvieren oder eine Eignungsprüfung abzulegen.</w:t>
      </w:r>
    </w:p>
    <w:p>
      <w:r>
        <w:t xml:space="preserve">2. Entspricht der Ausbildungsnachweis dem Berufsqualifikationsniveau nach Artikel 11 Buchstabe a der Richtlinie 2005/36/EG, kann der Antragstellerin oder dem Antragsteller sowohl ein Anpassungslehrgang als auch eine Eignungsprüfung auferlegt werden.</w:t>
      </w:r>
    </w:p>
    <w:p>
      <w:r>
        <w:t xml:space="preserve">Zuständig ist die Ingenieurkammer Sachsen.</w:t>
      </w:r>
    </w:p>
    <w:p>
      <w:r>
        <w:t xml:space="preserve">(2) Die Einzelheiten zur Durchführung von Ausgleichsmaßnahmen werden durch Satzung der Ingenieurkammer Sachsen festgelegt.</w:t>
      </w:r>
    </w:p>
    <w:p>
      <w:r>
        <w:t xml:space="preserve">(3) Die Ingenieurkammer Sachsen kann mit anderen zuständigen Stellen innerhalb der Bundesrepublik Deutschland landesübergreifende Vereinbarungen zur Durchführung von Ausgleichsmaßnahmen schließen. Die Vereinbarung bedarf der Genehmigung des Staatsministeriums für Regionalentwicklung.</w:t>
      </w:r>
    </w:p>
    <w:p>
      <w:r>
        <w:rPr>
          <w:color w:val="555555"/>
          <w:sz w:val="17"/>
        </w:rPr>
        <w:t xml:space="preserve">Zitiervorschlag: § 41e SächsIngG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https://recht.nulegal.eu/gesetze/S%C3%A4chsIngG/41e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