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41c SächsIngG (Sachsen) — Ausländische Berufsqualifikationen aus Drittstaaten</w:t>
      </w:r>
    </w:p>
    <w:p>
      <w:r>
        <w:rPr>
          <w:color w:val="555555"/>
          <w:sz w:val="18"/>
        </w:rPr>
        <w:t xml:space="preserve">Sächsisches Ingenieurgesetz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Bauvorlageberechtigt ist, wer</w:t>
      </w:r>
    </w:p>
    <w:p>
      <w:r>
        <w:t xml:space="preserve">1. in einem Staat, der nicht Mitgliedstaat der Europäischen Union oder ein diesem durch Abkommen gleichgestellter Staat ist, einen Ausbildungsnachweis von einer ausländischen Hochschule erworben hat, der dem Ausbildungsnachweis nach § 3a Absatz 1 Nummer 2 gleichwertig ist, und</w:t>
      </w:r>
    </w:p>
    <w:p>
      <w:r>
        <w:t xml:space="preserve">2. nach Studienabschluss mindestens zwei Jahre auf dem Gebiet der Entwurfsplanung von Gebäuden tätig gewesen ist.</w:t>
      </w:r>
    </w:p>
    <w:p>
      <w:r>
        <w:t xml:space="preserve">Für die Anerkennung der Gleichwertigkeit gilt § 9 des Sächsischen Berufsqualifikationsfeststellungsgesetzes entsprechend. Nicht gleichwertige Berufsqualifikationen können nach Maßgabe des § 41e, der entsprechend gilt, ausgeglichen werden.</w:t>
      </w:r>
    </w:p>
    <w:p>
      <w:r>
        <w:rPr>
          <w:color w:val="555555"/>
          <w:sz w:val="17"/>
        </w:rPr>
        <w:t xml:space="preserve">Zitiervorschlag: § 41c SächsIngG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https://recht.nulegal.eu/gesetze/S%C3%A4chsIngG/41c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41c SächsIngG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