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SächsIngG (Sachsen) — Bauvorlageberechtigung</w:t>
      </w:r>
    </w:p>
    <w:p>
      <w:r>
        <w:rPr>
          <w:color w:val="555555"/>
          <w:sz w:val="18"/>
        </w:rPr>
        <w:t xml:space="preserve">Sächsisches Ingenieurgesetz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Bauvorlageberechtigt ist, wer</w:t>
      </w:r>
    </w:p>
    <w:p>
      <w:r>
        <w:t xml:space="preserve">1. im Freistaat Sachsen seine Wohnung oder seine Niederlassung hat oder seinen Beruf überwiegend ausübt,</w:t>
      </w:r>
    </w:p>
    <w:p>
      <w:r>
        <w:t xml:space="preserve">2. an einer deutschen Hochschule ein Studium der Fachrichtung Hochbau oder des Bauingenieurwesens nach den in der Anlage 1 geregelten Leitlinien abgeschlossen hat,</w:t>
      </w:r>
    </w:p>
    <w:p>
      <w:r>
        <w:t xml:space="preserve">3. nach Abschluss des Studiums mindestens zwei Jahre auf dem Gebiet der Entwurfsplanung von Gebäuden praktisch tätig gewesen ist und</w:t>
      </w:r>
    </w:p>
    <w:p>
      <w:r>
        <w:t xml:space="preserve">4. den Abschluss einer ausreichenden Haftpflichtversicherung nachweist.</w:t>
      </w:r>
    </w:p>
    <w:p>
      <w:r>
        <w:t xml:space="preserve">(2) Bauvorlageberechtigt ist auch, wer die Voraussetzungen nach den §§ 41a, 41c oder 41f erfüllt.</w:t>
      </w:r>
    </w:p>
    <w:p>
      <w:r>
        <w:t xml:space="preserve">(3) Die nach Absatz 1 Bauvorlageberechtigten sind in eine Liste, die nach Absatz 2 Bauvorlageberechtigten sind in ein Verzeichnis einzutragen. Listeneintragungen anderer Länder gelten auch im Freistaat Sachsen.</w:t>
      </w:r>
    </w:p>
    <w:p>
      <w:r>
        <w:rPr>
          <w:color w:val="555555"/>
          <w:sz w:val="17"/>
        </w:rPr>
        <w:t xml:space="preserve">Zitiervorschlag: § 3a SächsIngG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https://recht.nulegal.eu/gesetze/S%C3%A4chsIngG/3a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