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SächsIngG (Sachsen) — Versorgungswerk</w:t>
      </w:r>
    </w:p>
    <w:p>
      <w:r>
        <w:rPr>
          <w:color w:val="555555"/>
          <w:sz w:val="18"/>
        </w:rPr>
        <w:t xml:space="preserve">Sächsisches Ingenieurgesetz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zu dem Staatsvertrag zwischen dem Freistaat Sachsen und dem Freistaat Bayern über die Zugehörigkeit der kammerangehörigen Ingenieure des Freistaates Sachsen zur Bayerischen Ingenieurversorgung-Bau vom 19. Oktober 1998 (SächsGVBl. S. 502) gilt fort.</w:t>
      </w:r>
    </w:p>
    <w:p>
      <w:r>
        <w:rPr>
          <w:color w:val="555555"/>
          <w:sz w:val="17"/>
        </w:rPr>
        <w:t xml:space="preserve">Zitiervorschlag: § 26 SächsIngG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https://recht.nulegal.eu/gesetze/S%C3%A4chsIngG/26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