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SächsISichG (Sachsen) — Zweck des Gesetzes</w:t>
      </w:r>
    </w:p>
    <w:p>
      <w:r>
        <w:rPr>
          <w:color w:val="555555"/>
          <w:sz w:val="18"/>
        </w:rPr>
        <w:t xml:space="preserve">Sächsisches Informationssicherheitsgesetz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Zweck dieses Gesetzes ist, die Informationssicherheit im Freistaat Sachsen zu erhöhen und Gefahren für informationstechnische Systeme abzuwehren. Die Gewährleistung der Informationssicherheit ist eine wichtige im öffentlichen Interesse liegende Aufgabe.</w:t>
      </w:r>
    </w:p>
    <w:p>
      <w:r>
        <w:rPr>
          <w:color w:val="555555"/>
          <w:sz w:val="17"/>
        </w:rPr>
        <w:t xml:space="preserve">Zitiervorschlag: § 1 SächsISichG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https://recht.nulegal.eu/gesetze/S%C3%A4chsISichG/1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SächsISichG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