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SächsIHKG (Sachsen) — Beiträge und Gebühren</w:t>
      </w:r>
    </w:p>
    <w:p>
      <w:r>
        <w:rPr>
          <w:color w:val="555555"/>
          <w:sz w:val="18"/>
        </w:rPr>
        <w:t xml:space="preserve">Gesetz zur Ausführung und Ergänzung des Rechts der Industrie- und Handelskammern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Industrie- und Handelskammern ziehen ihre Beiträge, Sonderbeiträge und Gebühren selbst ein.</w:t>
      </w:r>
    </w:p>
    <w:p>
      <w:r>
        <w:t xml:space="preserve">(2) Die Industrie- und Handelskammern sind berechtigt, die zur Festsetzung der Beiträge erforderlichen Besteuerungsgrundlagen bei der Finanzverwaltung zu erheben.</w:t>
      </w:r>
    </w:p>
    <w:p>
      <w:r>
        <w:t xml:space="preserve">(3) Die von der Industrie- und Handelskammer über rückständige Abgaben aufgestellten Rückstandsverzeichnisse sind Vollstreckungstitel im Sinn des § 794 der Zivilprozessordnung in der Fassung der Bekanntmachung vom 5. Dezember 2005 (BGBl. I S. 3202; 2006 I S. 431; 2007 I S. 1781), die zuletzt durch Artikel 11 Absatz 15 des Gesetzes vom 18. Juli 2017 (BGBl. I S. 2745) geändert worden ist, in der jeweils geltenden Fassung.</w:t>
      </w:r>
    </w:p>
    <w:p>
      <w:r>
        <w:rPr>
          <w:color w:val="555555"/>
          <w:sz w:val="17"/>
        </w:rPr>
        <w:t xml:space="preserve">Zitiervorschlag: § 3 SächsIHKG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https://recht.nulegal.eu/gesetze/S%C3%A4chsIHKG/3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SächsIHKG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