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SächsHygVO (Sachsen)</w:t>
      </w:r>
    </w:p>
    <w:p>
      <w:r>
        <w:rPr>
          <w:color w:val="555555"/>
          <w:sz w:val="18"/>
        </w:rPr>
        <w:t xml:space="preserve">Sächsische Hygiene-Verordnung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17 Abs. 4 Satz 1 des Gesetzes zur Verhütung und Bekämpfung von Infektionskrankheiten beim Menschen ( Infektionsschutzgesetz – IfSG ) vom 20. Juli 2000 (BGBl. I S. 1045), das zuletzt durch Artikel 12 des Gesetzes vom 24. Dezember 2003 (BGBl. I S. 2954) geändert worden ist, in Verbindung mit § 8 der Verordnung der Sächsischen Staatsregierung zur Regelung von Zuständigkeiten nach dem Infektionsschutzgesetz ( IfSGZuVO ) vom 19. März 2002 (SächsGVBl. S. 114), die durch Artikel 41 der Verordnung vom 10. April 2003 (SächsGVBl. S. 94, 98) geändert worden ist, wird verordnet:</w:t>
      </w:r>
    </w:p>
    <w:p>
      <w:r>
        <w:rPr>
          <w:color w:val="555555"/>
          <w:sz w:val="17"/>
        </w:rPr>
        <w:t xml:space="preserve">Zitiervorschlag: Eingangsformel SächsHygVO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https://recht.nulegal.eu/gesetze/S%C3%A4chsHygVO/eingangsformel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