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SächsHygVO (Sachsen) — In-Kraft-Treten</w:t>
      </w:r>
    </w:p>
    <w:p>
      <w:r>
        <w:rPr>
          <w:color w:val="555555"/>
          <w:sz w:val="18"/>
        </w:rPr>
        <w:t xml:space="preserve">Sächsische Hygiene-Verordnung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7. April 2004</w:t>
      </w:r>
    </w:p>
    <w:p>
      <w:r>
        <w:t xml:space="preserve">Die Staatsministerin für Soziales</w:t>
      </w:r>
    </w:p>
    <w:p>
      <w:r>
        <w:t xml:space="preserve">Helma Orosz</w:t>
      </w:r>
    </w:p>
    <w:p>
      <w:r>
        <w:rPr>
          <w:color w:val="555555"/>
          <w:sz w:val="17"/>
        </w:rPr>
        <w:t xml:space="preserve">Zitiervorschlag: § 7 SächsHygVO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https://recht.nulegal.eu/gesetze/S%C3%A4chsHygVO/7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SächsHygVO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