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2a SächsHygVO (Sachsen) — Umsetzung der Richtlinie 2006/123/EG</w:t>
      </w:r>
    </w:p>
    <w:p>
      <w:r>
        <w:rPr>
          <w:color w:val="555555"/>
          <w:sz w:val="18"/>
        </w:rPr>
        <w:t xml:space="preserve">Sächsische Hygiene-Verordnung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Anerkennung der Zeugnisse, Bescheinigungen und sonstigen Dokumente richtet sich nach Artikel 5 und die Verwaltungszusammenarbeit richtet sich nach den Artikeln 28 bis 36 der Richtlinie 2006/123/EG des Europäischen Parlaments und des Rates vom 12. Dezember 2006 über Dienstleistungen im Binnenmarkt (ABl. L 376 vom 27. Dezember 2006, S. 36).</w:t>
      </w:r>
    </w:p>
    <w:p>
      <w:r>
        <w:rPr>
          <w:color w:val="555555"/>
          <w:sz w:val="17"/>
        </w:rPr>
        <w:t xml:space="preserve">Zitiervorschlag: § 2a SächsHygVO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https://recht.nulegal.eu/gesetze/S%C3%A4chsHygVO/2a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