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SächsHintG (Sachsen)</w:t>
      </w:r>
    </w:p>
    <w:p>
      <w:r>
        <w:rPr>
          <w:color w:val="555555"/>
          <w:sz w:val="18"/>
        </w:rPr>
        <w:t xml:space="preserve">Sächsisches Hinterlegungsgesetz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11. Juni 2010</w:t>
      </w:r>
    </w:p>
    <w:p>
      <w:r>
        <w:rPr>
          <w:color w:val="555555"/>
          <w:sz w:val="17"/>
        </w:rPr>
        <w:t xml:space="preserve">Zitiervorschlag: Eingangsformel SächsHintG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https://recht.nulegal.eu/gesetze/S%C3%A4chsHintG/eingangsformel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