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SächsHintG (Sachsen) — Einsichtsrecht</w:t>
      </w:r>
    </w:p>
    <w:p>
      <w:r>
        <w:rPr>
          <w:color w:val="555555"/>
          <w:sz w:val="18"/>
        </w:rPr>
        <w:t xml:space="preserve">Sächsisches Hinterlegungsgesetz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Den Beteiligten ist Einsicht in die Hinterlegungsakten zu gestatten.</w:t>
      </w:r>
    </w:p>
    <w:p>
      <w:r>
        <w:rPr>
          <w:color w:val="555555"/>
          <w:sz w:val="17"/>
        </w:rPr>
        <w:t xml:space="preserve">Zitiervorschlag: § 4 SächsHintG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https://recht.nulegal.eu/gesetze/S%C3%A4chsHintG/4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SächsHintG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