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32 SächsHintG (Sachsen) — Verweis auf das Sächsische Justizgesetz</w:t>
      </w:r>
    </w:p>
    <w:p>
      <w:r>
        <w:rPr>
          <w:color w:val="555555"/>
          <w:sz w:val="18"/>
        </w:rPr>
        <w:t xml:space="preserve">Sächsisches Hinterlegungsgesetz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Kostenerhebung in Hinterlegungssachen erfolgt nach den Vorschriften des Teils 9 des Gesetzes über die Justiz im Freistaat Sachsen (Sächsisches Justizgesetz – SächsJG) vom 24. November 2000 (SächsGVBl. S. 482, 2001 S. 704), das zuletzt durch Artikel 4 des Gesetzes vom 11. Juni 2010 (SächsGVBl. S. 154, 159) geändert worden ist, in der jeweils geltenden Fassung.</w:t>
      </w:r>
    </w:p>
    <w:p>
      <w:r>
        <w:rPr>
          <w:color w:val="555555"/>
          <w:sz w:val="17"/>
        </w:rPr>
        <w:t xml:space="preserve">Zitiervorschlag: § 32 SächsHintG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https://recht.nulegal.eu/gesetze/S%C3%A4chsHintG/32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32 SächsHintG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