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SächsHintG (Sachsen) — Herausgabeanordnung</w:t>
      </w:r>
    </w:p>
    <w:p>
      <w:r>
        <w:rPr>
          <w:color w:val="555555"/>
          <w:sz w:val="18"/>
        </w:rPr>
        <w:t xml:space="preserve">Sächsisches Hinterlegungsgesetz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Herausgabe bedarf einer Verfügung der Hinterlegungsstelle (Herausgabeanordnung).</w:t>
      </w:r>
    </w:p>
    <w:p>
      <w:r>
        <w:rPr>
          <w:color w:val="555555"/>
          <w:sz w:val="17"/>
        </w:rPr>
        <w:t xml:space="preserve">Zitiervorschlag: § 21 SächsHintG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https://recht.nulegal.eu/gesetze/S%C3%A4chsHintG/21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