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SächsHintG (Sachsen) — Übertragung der Aufgaben</w:t>
      </w:r>
    </w:p>
    <w:p>
      <w:r>
        <w:rPr>
          <w:color w:val="555555"/>
          <w:sz w:val="18"/>
        </w:rPr>
        <w:t xml:space="preserve">Sächsisches Hinterlegungsgesetz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Geschäfte der Hinterlegungsstelle werden dem Rechtspfleger übertragen. Die §§ 5 bis 11 des Rechtspflegergesetzes ( RPflG ) vom 5. November 1969 (BGBl. I S. 2065), das zuletzt durch Artikel 6 des Gesetzes vom 30. Juli 2009 (BGBl. I S. 2474, 2476) geändert worden ist, sind auf diese Geschäfte nicht anzuwenden.</w:t>
      </w:r>
    </w:p>
    <w:p>
      <w:r>
        <w:rPr>
          <w:color w:val="555555"/>
          <w:sz w:val="17"/>
        </w:rPr>
        <w:t xml:space="preserve">Zitiervorschlag: § 2 SächsHintG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https://recht.nulegal.eu/gesetze/S%C3%A4chsHintG/2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