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SächsHintG (Sachsen) — Wertpapiere, Urkunden, Kostbarkeiten</w:t>
      </w:r>
    </w:p>
    <w:p>
      <w:r>
        <w:rPr>
          <w:color w:val="555555"/>
          <w:sz w:val="18"/>
        </w:rPr>
        <w:t xml:space="preserve">Sächsisches Hinterlegungsgesetz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Wertpapiere können als stückelose Wertpapiere hinterlegt oder während der Hinterlegung in stückelose Wertpapiere umgewandelt werden. Sonstige Urkunden und Kostbarkeiten werden unverändert aufbewahrt.</w:t>
      </w:r>
    </w:p>
    <w:p>
      <w:r>
        <w:t xml:space="preserve">(2) Die Hinterlegungsstelle ist berechtigt, durch einen Sachverständigen den Wert von Kostbarkeiten schätzen oder ihre Beschaffenheit feststellen zu lassen. Die Kosten trägt der Hinterleger.</w:t>
      </w:r>
    </w:p>
    <w:p>
      <w:r>
        <w:rPr>
          <w:color w:val="555555"/>
          <w:sz w:val="17"/>
        </w:rPr>
        <w:t xml:space="preserve">Zitiervorschlag: § 13 SächsHintG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https://recht.nulegal.eu/gesetze/S%C3%A4chsHintG/13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