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SächsHintG (Sachsen) — Hinterlegungsstellen, Hinterlegungskasse</w:t>
      </w:r>
    </w:p>
    <w:p>
      <w:r>
        <w:rPr>
          <w:color w:val="555555"/>
          <w:sz w:val="18"/>
        </w:rPr>
        <w:t xml:space="preserve">Sächsisches Hinterlegungsgesetz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Hinterlegungsgeschäfte werden von Hinterlegungsstellen und der Hinterlegungskasse wahrgenommen.</w:t>
      </w:r>
    </w:p>
    <w:p>
      <w:r>
        <w:t xml:space="preserve">(2) Hinterlegungsstelle ist das Amtsgericht.</w:t>
      </w:r>
    </w:p>
    <w:p>
      <w:r>
        <w:t xml:space="preserve">(3) Hinterlegungskasse ist die Landesjustizkasse Chemnitz.</w:t>
      </w:r>
    </w:p>
    <w:p>
      <w:r>
        <w:t xml:space="preserve">(4) Das Staatsministerium der Justiz wird ermächtigt, durch Rechtsverordnung ein Amtsgericht als Hinterlegungsstelle für die Bezirke mehrerer Amtsgerichte zu bestimmen.</w:t>
      </w:r>
    </w:p>
    <w:p>
      <w:r>
        <w:rPr>
          <w:color w:val="555555"/>
          <w:sz w:val="17"/>
        </w:rPr>
        <w:t xml:space="preserve">Zitiervorschlag: § 1 SächsHintG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https://recht.nulegal.eu/gesetze/S%C3%A4chsHintG/1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SächsHintG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