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SächsHebG (Sachsen) — Zweck des Gesetzes</w:t>
      </w:r>
    </w:p>
    <w:p>
      <w:r>
        <w:rPr>
          <w:color w:val="555555"/>
          <w:sz w:val="18"/>
        </w:rPr>
        <w:t xml:space="preserve">Sächsisches Hebammengesetz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diesem Gesetz wird die Berufsausübung der Hebammen und Entbindungspfleger (Hebammen) im Freistaat Sachsen geregelt. Es dient insbesondere der Umsetzung des Artikels 42 der Richtlinie 2005/36/EG des Europäischen Parlaments und des Rates vom 7. September 2005 über die Anerkennung von Berufsqualifikationen (ABl. L 255 vom 30. September 2005, S. 22, L 271 vom 16. Oktober 2007, S. 18, L 93 vom 4. April 2008, S. 28, L 33 vom 3. Februar 2009, S. 49), die zuletzt durch Verordnung (EU) Nr. 213/2011 (ABl. L 59 vom 4. März 2011, S. 4) geändert worden ist.</w:t>
      </w:r>
    </w:p>
    <w:p>
      <w:r>
        <w:rPr>
          <w:color w:val="555555"/>
          <w:sz w:val="17"/>
        </w:rPr>
        <w:t xml:space="preserve">Zitiervorschlag: § 1 SächsHebG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https://recht.nulegal.eu/gesetze/S%C3%A4chsHebG/1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