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SächsHZG (Sachsen) — Vertretungskörperschaft der Hochschule</w:t>
      </w:r>
    </w:p>
    <w:p>
      <w:r>
        <w:rPr>
          <w:color w:val="555555"/>
          <w:sz w:val="18"/>
        </w:rPr>
        <w:t xml:space="preserve">Sächsisches Hochschulzulassungsgesetz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Vertretungskörperschaft im Sinne von § 6 Absatz 3 Satz 3 des SfH-Gesetzes vom 18. November 2008 (Gesetz- und Verordnungsblatt für das Land Nordrhein-Westfalen S. 710), das zuletzt durch Artikel 96 des Gesetzes vom 1. Februar 2022 (Gesetz- und Verordnungsblatt für das Land Nordrhein-Westfalen S. 122) geändert worden ist, in der jeweils geltenden Fassung, ist die Landesrektorenkonferenz.</w:t>
      </w:r>
    </w:p>
    <w:p>
      <w:r>
        <w:rPr>
          <w:color w:val="555555"/>
          <w:sz w:val="17"/>
        </w:rPr>
        <w:t xml:space="preserve">Zitiervorschlag: § 4 SächsHZG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https://recht.nulegal.eu/gesetze/S%C3%A4chsHZG/4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