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SächsHZG (Sachsen) — Vorverfahren</w:t>
      </w:r>
    </w:p>
    <w:p>
      <w:r>
        <w:rPr>
          <w:color w:val="555555"/>
          <w:sz w:val="18"/>
        </w:rPr>
        <w:t xml:space="preserve">Sächsisches Hochschulzulassungsgesetz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Gegen Bescheide über die Studienplatzvergabe nach diesem Gesetz findet ein Widerspruchsverfahren nicht statt.</w:t>
      </w:r>
    </w:p>
    <w:p>
      <w:r>
        <w:rPr>
          <w:color w:val="555555"/>
          <w:sz w:val="17"/>
        </w:rPr>
        <w:t xml:space="preserve">Zitiervorschlag: § 13 SächsHZG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https://recht.nulegal.eu/gesetze/S%C3%A4chsHZG/13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SächsHZG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