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SächsHSG (Sachsen) — Genehmigung von Hochschulniederlassungen</w:t>
      </w:r>
    </w:p>
    <w:p>
      <w:r>
        <w:rPr>
          <w:color w:val="555555"/>
          <w:sz w:val="18"/>
        </w:rPr>
        <w:t xml:space="preserve">Sächsisches Hochschulgesetz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Betrieb der Niederlassung einer Hochschule bedarf der Genehmigung.</w:t>
      </w:r>
    </w:p>
    <w:p>
      <w:r>
        <w:t xml:space="preserve">(2) Das Staatsministerium genehmigt den Betrieb der Niederlassung einer staatlich anerkannten Hochschule mit Sitz in einem anderen Land in der Bundesrepublik Deutschland, wenn nach dem Recht des Herkunftslandes gesichert ist, dass</w:t>
      </w:r>
    </w:p>
    <w:p>
      <w:r>
        <w:t xml:space="preserve">1. die Niederlassung ausschließlich ihre anerkannte Ausbildung durchführt,</w:t>
      </w:r>
    </w:p>
    <w:p>
      <w:r>
        <w:t xml:space="preserve">2. die Hochschule ausschließlich ihre anerkannten Hochschulgrade verleiht,</w:t>
      </w:r>
    </w:p>
    <w:p>
      <w:r>
        <w:t xml:space="preserve">3. die Tätigkeit der Niederlassung rechtmäßig ist und</w:t>
      </w:r>
    </w:p>
    <w:p>
      <w:r>
        <w:t xml:space="preserve">4. die Qualitätssicherung gewährleistet ist.</w:t>
      </w:r>
    </w:p>
    <w:p>
      <w:r>
        <w:t xml:space="preserve">Der Träger der Hochschule hat drei Monate vor Studienbeginn einen schriftlichen Antrag zu stellen, mit dem er die erforderlichen Nachweise vorlegt.</w:t>
      </w:r>
    </w:p>
    <w:p>
      <w:r>
        <w:t xml:space="preserve">(3) Absatz 2 gilt entsprechend für Niederlassungen von staatlichen und staatlich anerkannten Hochschulen mit Sitz in einem Mitgliedstaat des Europäischen Wirtschaftsraumes, soweit die Qualitätssicherung nach allgemein anerkannten Standards erfolgt.</w:t>
      </w:r>
    </w:p>
    <w:p>
      <w:r>
        <w:rPr>
          <w:color w:val="555555"/>
          <w:sz w:val="17"/>
        </w:rPr>
        <w:t xml:space="preserve">Zitiervorschlag: § 116 SächsHSG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https://recht.nulegal.eu/gesetze/S%C3%A4chsHSG/116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