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SächsHSFinVO (Sachsen) — Zahlungsverkehr</w:t>
      </w:r>
    </w:p>
    <w:p>
      <w:r>
        <w:rPr>
          <w:color w:val="555555"/>
          <w:sz w:val="18"/>
        </w:rPr>
        <w:t xml:space="preserve">Sächsische Hochschulfinanzverordnung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unbare Zahlungsverkehr wird unentgeltlich von der Hauptkasse des Freistaates Sachsen wahrgenommen. Der Barzahlungsverkehr wird von der Hochschule in eigener Zuständigkeit wahrgenommen.</w:t>
      </w:r>
    </w:p>
    <w:p>
      <w:r>
        <w:t xml:space="preserve">(2) Die Hochschule kann ihren unbaren Zahlungsverkehr auch in eigener Zuständigkeit wahrnehmen. Die von der Hochschule vorübergehend nicht benötigten Finanzmittel sind unverzinslich in das Liquiditätsmanagement des Freistaates Sachsen einzubeziehen.</w:t>
      </w:r>
    </w:p>
    <w:p>
      <w:r>
        <w:t xml:space="preserve">(3) Abweichend von der Regelung des Absatzes 2 Satz 2 kann die Hochschule die ihr von privaten Dritten zur Verfügung gestellten Finanzmittel in eigener Zuständigkeit zinsbringend anlegen, soweit der Mittelgeber eine zinsbringende Anlage fordert.</w:t>
      </w:r>
    </w:p>
    <w:p>
      <w:r>
        <w:t xml:space="preserve">(4) Die Absätze 2 und 3 gelten nicht für kameralistisch wirtschaftende Hochschulen.</w:t>
      </w:r>
    </w:p>
    <w:p>
      <w:r>
        <w:rPr>
          <w:color w:val="555555"/>
          <w:sz w:val="17"/>
        </w:rPr>
        <w:t xml:space="preserve">Zitiervorschlag: § 9 SächsHSFinVO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https://recht.nulegal.eu/gesetze/S%C3%A4chsHSFinVO/9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