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SächsHSFinVO (Sachsen) — Buchführung</w:t>
      </w:r>
    </w:p>
    <w:p>
      <w:r>
        <w:rPr>
          <w:color w:val="555555"/>
          <w:sz w:val="18"/>
        </w:rPr>
        <w:t xml:space="preserve">Sächsische Hochschulfinanzverordnung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Buchführung muss Auswertungen nach der Gliederung des Wirtschaftsplans in sachlicher und zeitlicher Ordnung sowie Soll-Ist-Vergleiche zulassen.</w:t>
      </w:r>
    </w:p>
    <w:p>
      <w:r>
        <w:t xml:space="preserve">(2) Die Buchführung nimmt die Hochschule in eigener Zuständigkeit wahr.</w:t>
      </w:r>
    </w:p>
    <w:p>
      <w:r>
        <w:t xml:space="preserve">(3) Abweichend von Absatz 2 wird die Buchführung der kameralistisch wirtschaftenden Hochschulen unentgeltlich von der Hauptkasse des Freistaates Sachsen wahrgenommen.</w:t>
      </w:r>
    </w:p>
    <w:p>
      <w:r>
        <w:rPr>
          <w:color w:val="555555"/>
          <w:sz w:val="17"/>
        </w:rPr>
        <w:t xml:space="preserve">Zitiervorschlag: § 8 SächsHSFinVO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https://recht.nulegal.eu/gesetze/S%C3%A4chsHSFinVO/8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