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SächsHSFinVO (Sachsen) — Inkrafttreten</w:t>
      </w:r>
    </w:p>
    <w:p>
      <w:r>
        <w:rPr>
          <w:color w:val="555555"/>
          <w:sz w:val="18"/>
        </w:rPr>
        <w:t xml:space="preserve">Sächsische Hochschulfinanzverordnung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21. Dezember 2010</w:t>
      </w:r>
    </w:p>
    <w:p>
      <w:r>
        <w:t xml:space="preserve">Der Staatsminister der Finanzen</w:t>
      </w:r>
    </w:p>
    <w:p>
      <w:r>
        <w:t xml:space="preserve">Prof. Dr. Georg Unland</w:t>
      </w:r>
    </w:p>
    <w:p>
      <w:r>
        <w:rPr>
          <w:color w:val="555555"/>
          <w:sz w:val="17"/>
        </w:rPr>
        <w:t xml:space="preserve">Zitiervorschlag: § 17 SächsHSFinVO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https://recht.nulegal.eu/gesetze/S%C3%A4chsHSFinVO/17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SächsHSFinVO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