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SächsHSFinVO (Sachsen) — Geltungsbereich</w:t>
      </w:r>
    </w:p>
    <w:p>
      <w:r>
        <w:rPr>
          <w:color w:val="555555"/>
          <w:sz w:val="18"/>
        </w:rPr>
        <w:t xml:space="preserve">Sächsische Hochschulfinanzverordnung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gilt für die in § 1 Abs. 1 SächsHSG genannten Hochschulen mit Ausnahme der Medizinischen Fakultäten und regelt deren Wirtschaftsführung und Rechnungswesen nach kaufmännischen Grundsätzen.</w:t>
      </w:r>
    </w:p>
    <w:p>
      <w:r>
        <w:t xml:space="preserve">(2) Die Verordnung gilt auch für Hochschulen, die gemäß § 11 Abs. 5 SächsHSG nach Einnahmen und Ausgaben wirtschaften (kameralistisch wirtschaftende Hochschulen), wobei abweichende Bestimmungen jeweils gesondert geregelt sind.</w:t>
      </w:r>
    </w:p>
    <w:p>
      <w:r>
        <w:rPr>
          <w:color w:val="555555"/>
          <w:sz w:val="17"/>
        </w:rPr>
        <w:t xml:space="preserve">Zitiervorschlag: § 1 SächsHSFinVO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https://recht.nulegal.eu/gesetze/S%C3%A4chsHSFinVO/1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SächsHSFinVO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