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6 SächsHKaG (Sachsen) — Vorwarnmechanismus</w:t>
      </w:r>
    </w:p>
    <w:p>
      <w:r>
        <w:rPr>
          <w:color w:val="555555"/>
          <w:sz w:val="18"/>
        </w:rPr>
        <w:t xml:space="preserve">Sächsisches Heilberufekammergesetz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Kammer ist die zuständige Behörde für ein- und ausgehende Warnmeldungen einschließlich deren Bearbeitung und Aktualisierung gemäß Artikel 56a der Richtlinie 2005/36/EG und der dazu erlassenen Durchführungsrechtsakte, soweit die Warnmeldungen die Untersagung oder die Beschränkung von Weiterbildungsbezeichnungen im Sinne von § 23 Absatz 1 betreffen. Davon unberührt bleibt die Zuständigkeit des einheitlichen Ansprechpartners gemäß § 1 des Gesetzes über den einheitlichen Ansprechpartner im Freistaat Sachsen vom 13. August 2009 (SächsGVBl. S. 446), das zuletzt durch Artikel 2 Absatz 2 des Gesetzes vom 5. April 2019 (SächsGVBl. S. 245) geändert worden ist, in der jeweils geltenden Fassung. Die Warnmeldungen und deren Bearbeitung und Aktualisierung erfolgen nach den Vorgaben von Artikel 56a der Richtlinie 2005/36/EG und der dazu erlassenen Durchführungsrechtsakte.</w:t>
      </w:r>
    </w:p>
    <w:p>
      <w:r>
        <w:t xml:space="preserve">(2) Die Kammer unterrichtet die zuständigen Behörden der Mitgliedstaaten der Europäischen Union und der anderen Vertragsstaaten des Abkommens über den Europäischen Wirtschaftsraum, die dem Binnenmarkt-Informationssystem angeschlossen sind, mittels einer Warnung über das Binnenmarkt-Informationssystem über die Beschränkung oder Untersagung einer Weiterbildungsbezeichnung im Sinne von § 23 Absatz 1. Die Warnmeldung erfolgt spätestens drei Tage nach Erlass der Entscheidung und beinhaltet die Angabe der Identität der oder des Berufsangehörigen, den betroffenen Beruf und die Behörde, welche die Entscheidung getroffen hat sowie den Umfang und Zeitraum der Beschränkung oder Untersagung. Legt die oder der betroffene Berufsangehörige einen Rechtsbehelf gegen die Warnmeldung ein, ist das über das Binnenmarkt-Informationssystem mitzuteilen. Die zuständigen Behörden gemäß Satz 1 sind unverzüglich über den Ablauf der Geltungsdauer einer Untersagung oder Beschränkung unter Angabe des Datums des Ablaufs der Geltungsdauer zu unterrichten. Die Warnung ist spätestens drei Tage, nachdem die getroffene Maßnahme keine Gültigkeit mehr hat, aus dem Binnenmarkt-Informationssystem zu löschen.</w:t>
      </w:r>
    </w:p>
    <w:p>
      <w:r>
        <w:t xml:space="preserve">(3) Gleichzeitig mit der Warnmeldung ist die oder der betroffene Berufsangehörige über die Warnung schriftlich zu informieren. Die Information muss Angaben über die zulässigen Rechtsbehelfe enthalten. Rechtsbehelfe gegen die Entscheidung zur Übermittlung der Warnmeldung haben keine aufschiebende Wirkung.</w:t>
      </w:r>
    </w:p>
    <w:p>
      <w:r>
        <w:rPr>
          <w:color w:val="555555"/>
          <w:sz w:val="17"/>
        </w:rPr>
        <w:t xml:space="preserve">Zitiervorschlag: § 6 SächsHKaG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https://recht.nulegal.eu/gesetze/S%C3%A4chsHKaG/6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6 SächsHKaG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