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SächsHKaG (Sachsen) — Zulässigkeit der Berufsausübung in einer juristischen Person des Privatrechts</w:t>
      </w:r>
    </w:p>
    <w:p>
      <w:r>
        <w:rPr>
          <w:color w:val="555555"/>
          <w:sz w:val="18"/>
        </w:rPr>
        <w:t xml:space="preserve">Sächsisches Heilberufekammergesetz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Ausübung einer heilberuflichen Tätigkeit bei einer juristischen Person des Privatrechts ist zulässig, wenn</w:t>
      </w:r>
    </w:p>
    <w:p>
      <w:r>
        <w:t xml:space="preserve">1. eine weisungsfreie, eigenverantwortliche und nicht gewerbliche Berufsausübung gewährleistet ist,</w:t>
      </w:r>
    </w:p>
    <w:p>
      <w:r>
        <w:t xml:space="preserve">2. der Unternehmensgegenstand die ausschließliche Wahrnehmung heilberuflicher Tätigkeiten ist,</w:t>
      </w:r>
    </w:p>
    <w:p>
      <w:r>
        <w:t xml:space="preserve">3. alle Gesellschafterinnen und Gesellschafter einem Heilberuf nach § 1 Absatz 1, einem staatlich anerkannten Ausbildungsberuf im Gesundheitswesen oder einem naturwissenschaftlichen oder sozialpädagogischen Beruf angehören und in der Gesellschaft beruflich tätig sind,</w:t>
      </w:r>
    </w:p>
    <w:p>
      <w:r>
        <w:t xml:space="preserve">4. die Geschäftsführung und Vertretung mehrheitlich Kammermitgliedern obliegen,</w:t>
      </w:r>
    </w:p>
    <w:p>
      <w:r>
        <w:t xml:space="preserve">5. die Mehrheit der Gesellschaftsanteile und Stimmrechte Kammermitgliedern zusteht,</w:t>
      </w:r>
    </w:p>
    <w:p>
      <w:r>
        <w:t xml:space="preserve">6. Dritte am Gewinn der Gesellschaft nicht beteiligt sind und keine Anteile für Dritte gehalten werden sowie</w:t>
      </w:r>
    </w:p>
    <w:p>
      <w:r>
        <w:t xml:space="preserve">7. eine ausreichende Berufshaftpflichtversicherung für die juristische Person des Privatrechts und die dort tätigen Berufsangehörigen besteht.</w:t>
      </w:r>
    </w:p>
    <w:p>
      <w:r>
        <w:t xml:space="preserve">Satz 1 Nummer 3 und 6 gelten nicht für die tierärztliche Berufsausübung. Das Nähere regelt die jeweilige Berufsordnung.</w:t>
      </w:r>
    </w:p>
    <w:p>
      <w:r>
        <w:rPr>
          <w:color w:val="555555"/>
          <w:sz w:val="17"/>
        </w:rPr>
        <w:t xml:space="preserve">Zitiervorschlag: § 21 SächsHKaG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https://recht.nulegal.eu/gesetze/S%C3%A4chsHKaG/21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