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SächsHFKVO (Sachsen)</w:t>
      </w:r>
    </w:p>
    <w:p>
      <w:r>
        <w:rPr>
          <w:color w:val="555555"/>
          <w:sz w:val="18"/>
        </w:rPr>
        <w:t xml:space="preserve">Sächsische Härtefallkommissionsverordnung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Aufgrund von § 23a Abs. 2 Satz 1 des Gesetzes über den Aufenthalt, die Erwerbstätigkeit und die Integration von Ausländern im Bundesgebiet ( Aufenthaltsgesetz – AufenthG ) in der Fassung der Bekanntmachung vom 25. Februar 2008 (BGBl. I S. 162), das zuletzt durch Artikel 4 Abs. 5 des Gesetzes vom 30. Juli 2009 (BGBl. I S. 2437, 2440) geändert worden ist, wird verordnet:</w:t>
      </w:r>
    </w:p>
    <w:p>
      <w:r>
        <w:rPr>
          <w:color w:val="555555"/>
          <w:sz w:val="17"/>
        </w:rPr>
        <w:t xml:space="preserve">Zitiervorschlag: Eingangsformel SächsHFKVO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https://recht.nulegal.eu/gesetze/S%C3%A4chsHFKVO/eingangsformel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