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SächsGrStMG (Sachsen)</w:t>
      </w:r>
    </w:p>
    <w:p>
      <w:r>
        <w:rPr>
          <w:color w:val="555555"/>
          <w:sz w:val="18"/>
        </w:rPr>
        <w:t xml:space="preserve">Sächsisches Grundsteuermesszahlengesetz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Dezember 2021</w:t>
      </w:r>
    </w:p>
    <w:p>
      <w:r>
        <w:t xml:space="preserve">Die Steuermesszahl beträgt, abweichend von § 15 Absatz 1 Nummer 1 und 2 des Grundsteuergesetzes vom 7. August 1973 (BGBl. I S. 965), das zuletzt durch Artikel 3 des Gesetzes vom 16. Juli 2021 (BGBl. I S. 2931) geändert worden ist, für im Freistaat Sachsen belegene</w:t>
      </w:r>
    </w:p>
    <w:p>
      <w:r>
        <w:t xml:space="preserve">1. unbebaute Grundstücke im Sinne des § 246 des Bewertungsgesetzes in der Fassung der Bekanntmachung vom 1. Februar 1991 (BGBl. I S. 230), das zuletzt durch Artikel 2 des Gesetzes vom 16. Juli 2021 (BGBl. I S. 2931) geändert worden ist, 0,36 Promille,</w:t>
      </w:r>
    </w:p>
    <w:p>
      <w:r>
        <w:t xml:space="preserve">2. bebaute Grundstücke im Sinne des § 249 Absatz 1 Nummer 1 bis 4 des Bewertungsgesetzes 0,36 Promille und</w:t>
      </w:r>
    </w:p>
    <w:p>
      <w:r>
        <w:t xml:space="preserve">3. bebaute Grundstücke im Sinne des § 249 Absatz 1 Nummer 5 bis 8 des Bewertungsgesetzes 0,72 Promille.</w:t>
      </w:r>
    </w:p>
    <w:p>
      <w:r>
        <w:rPr>
          <w:color w:val="555555"/>
          <w:sz w:val="17"/>
        </w:rPr>
        <w:t xml:space="preserve">Zitiervorschlag: Eingangsformel SächsGrStMG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https://recht.nulegal.eu/gesetze/S%C3%A4chsGrStMG/eingangsformel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SächsGrStMG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