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SächsGleiG (Sachsen) — Einschränkung eines Grundrechts</w:t>
      </w:r>
    </w:p>
    <w:p>
      <w:r>
        <w:rPr>
          <w:color w:val="555555"/>
          <w:sz w:val="18"/>
        </w:rPr>
        <w:t xml:space="preserve">Sächsisches Gleichstellungsgesetz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 Grund dieses Gesetzes kann das Grundrecht auf informationelle Selbstbestimmung nach Artikel 33 der Verfassung des Freistaates Sachsen eingeschränkt werden.</w:t>
      </w:r>
    </w:p>
    <w:p>
      <w:r>
        <w:rPr>
          <w:color w:val="555555"/>
          <w:sz w:val="17"/>
        </w:rPr>
        <w:t xml:space="preserve">Zitiervorschlag: § 32 SächsGleiG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https://recht.nulegal.eu/gesetze/S%C3%A4chsGleiG/32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